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96ED8" w14:textId="07B119CF" w:rsidR="00404975" w:rsidRPr="00404975" w:rsidRDefault="00404975" w:rsidP="00404975"/>
    <w:p w14:paraId="22CE3FB1" w14:textId="77777777" w:rsidR="00404975" w:rsidRPr="00404975" w:rsidRDefault="00404975" w:rsidP="00404975">
      <w:pPr>
        <w:rPr>
          <w:b/>
          <w:bCs/>
        </w:rPr>
      </w:pPr>
      <w:r w:rsidRPr="00404975">
        <w:rPr>
          <w:b/>
          <w:bCs/>
        </w:rPr>
        <w:t>Terms and Conditions</w:t>
      </w:r>
    </w:p>
    <w:p w14:paraId="5D6E4071" w14:textId="77777777" w:rsidR="00404975" w:rsidRPr="00404975" w:rsidRDefault="00404975" w:rsidP="00404975">
      <w:pPr>
        <w:rPr>
          <w:b/>
          <w:bCs/>
        </w:rPr>
      </w:pPr>
      <w:r w:rsidRPr="00404975">
        <w:rPr>
          <w:b/>
          <w:bCs/>
        </w:rPr>
        <w:t>1. Definitions</w:t>
      </w:r>
    </w:p>
    <w:p w14:paraId="69AB1267" w14:textId="77777777" w:rsidR="00404975" w:rsidRPr="00404975" w:rsidRDefault="00404975" w:rsidP="00404975">
      <w:r w:rsidRPr="00404975">
        <w:t>In these Terms and Conditions:</w:t>
      </w:r>
    </w:p>
    <w:p w14:paraId="62EDF413" w14:textId="77777777" w:rsidR="00404975" w:rsidRPr="00404975" w:rsidRDefault="00404975" w:rsidP="00404975">
      <w:pPr>
        <w:numPr>
          <w:ilvl w:val="0"/>
          <w:numId w:val="1"/>
        </w:numPr>
      </w:pPr>
      <w:r w:rsidRPr="00404975">
        <w:rPr>
          <w:b/>
          <w:bCs/>
        </w:rPr>
        <w:t>Company</w:t>
      </w:r>
      <w:r w:rsidRPr="00404975">
        <w:t> means </w:t>
      </w:r>
      <w:r w:rsidRPr="00404975">
        <w:rPr>
          <w:i/>
          <w:iCs/>
        </w:rPr>
        <w:t>E-</w:t>
      </w:r>
      <w:proofErr w:type="spellStart"/>
      <w:r w:rsidRPr="00404975">
        <w:rPr>
          <w:i/>
          <w:iCs/>
        </w:rPr>
        <w:t>sterlingservices</w:t>
      </w:r>
      <w:proofErr w:type="spellEnd"/>
      <w:r w:rsidRPr="00404975">
        <w:rPr>
          <w:i/>
          <w:iCs/>
        </w:rPr>
        <w:t xml:space="preserve"> Relocation Agency</w:t>
      </w:r>
    </w:p>
    <w:p w14:paraId="5DB96401" w14:textId="77777777" w:rsidR="00404975" w:rsidRPr="00404975" w:rsidRDefault="00404975" w:rsidP="00404975">
      <w:pPr>
        <w:numPr>
          <w:ilvl w:val="0"/>
          <w:numId w:val="1"/>
        </w:numPr>
      </w:pPr>
      <w:r w:rsidRPr="00404975">
        <w:rPr>
          <w:b/>
          <w:bCs/>
        </w:rPr>
        <w:t>Client</w:t>
      </w:r>
      <w:r w:rsidRPr="00404975">
        <w:t> means the person or entity engaging the Company’s services</w:t>
      </w:r>
    </w:p>
    <w:p w14:paraId="2C3E51CE" w14:textId="77777777" w:rsidR="00404975" w:rsidRPr="00404975" w:rsidRDefault="00404975" w:rsidP="00404975">
      <w:pPr>
        <w:numPr>
          <w:ilvl w:val="0"/>
          <w:numId w:val="1"/>
        </w:numPr>
      </w:pPr>
      <w:r w:rsidRPr="00404975">
        <w:rPr>
          <w:b/>
          <w:bCs/>
        </w:rPr>
        <w:t>Services</w:t>
      </w:r>
      <w:r w:rsidRPr="00404975">
        <w:t> means relocation, property search, rental assistance, and associated support services provided by the Company</w:t>
      </w:r>
    </w:p>
    <w:p w14:paraId="6DD524B3" w14:textId="77777777" w:rsidR="00404975" w:rsidRPr="00404975" w:rsidRDefault="00404975" w:rsidP="00404975">
      <w:pPr>
        <w:numPr>
          <w:ilvl w:val="0"/>
          <w:numId w:val="1"/>
        </w:numPr>
      </w:pPr>
      <w:r w:rsidRPr="00404975">
        <w:rPr>
          <w:b/>
          <w:bCs/>
        </w:rPr>
        <w:t>Agreement</w:t>
      </w:r>
      <w:r w:rsidRPr="00404975">
        <w:t> means these Terms and Conditions and any agreed service proposal or package</w:t>
      </w:r>
    </w:p>
    <w:p w14:paraId="24EDD134" w14:textId="7C2A8EB1" w:rsidR="00404975" w:rsidRPr="00404975" w:rsidRDefault="00404975" w:rsidP="00404975"/>
    <w:p w14:paraId="527F7A34" w14:textId="77777777" w:rsidR="00404975" w:rsidRPr="00404975" w:rsidRDefault="00404975" w:rsidP="00404975">
      <w:pPr>
        <w:rPr>
          <w:b/>
          <w:bCs/>
        </w:rPr>
      </w:pPr>
      <w:r w:rsidRPr="00404975">
        <w:rPr>
          <w:b/>
          <w:bCs/>
        </w:rPr>
        <w:t>2. Services</w:t>
      </w:r>
    </w:p>
    <w:p w14:paraId="7F7FED36" w14:textId="77777777" w:rsidR="00404975" w:rsidRPr="00404975" w:rsidRDefault="00404975" w:rsidP="00404975">
      <w:r w:rsidRPr="00404975">
        <w:t>(a) The Company agrees to provide the Services as outlined in the agreed package or written correspondence.</w:t>
      </w:r>
    </w:p>
    <w:p w14:paraId="69BC2607" w14:textId="77777777" w:rsidR="00404975" w:rsidRPr="00404975" w:rsidRDefault="00404975" w:rsidP="00404975">
      <w:r w:rsidRPr="00404975">
        <w:t>(b) The scope of Services may vary depending on the package selected and individual Client requirements.</w:t>
      </w:r>
    </w:p>
    <w:p w14:paraId="49B73B5F" w14:textId="6FD5E7CD" w:rsidR="00404975" w:rsidRPr="00404975" w:rsidRDefault="00404975" w:rsidP="00404975">
      <w:r w:rsidRPr="00404975">
        <w:t>(c) Any additional services requested outside the agreed scope may incur additional fees.</w:t>
      </w:r>
    </w:p>
    <w:p w14:paraId="156D8C66" w14:textId="77777777" w:rsidR="00404975" w:rsidRPr="00404975" w:rsidRDefault="00404975" w:rsidP="00404975">
      <w:pPr>
        <w:rPr>
          <w:b/>
          <w:bCs/>
        </w:rPr>
      </w:pPr>
      <w:r w:rsidRPr="00404975">
        <w:rPr>
          <w:b/>
          <w:bCs/>
        </w:rPr>
        <w:t>3. Fees and Payment</w:t>
      </w:r>
    </w:p>
    <w:p w14:paraId="26AFD336" w14:textId="77777777" w:rsidR="00404975" w:rsidRPr="00404975" w:rsidRDefault="00404975" w:rsidP="00404975">
      <w:r w:rsidRPr="00404975">
        <w:t>(a) Fees are payable as outlined in the agreed service package or invoice.</w:t>
      </w:r>
    </w:p>
    <w:p w14:paraId="42469443" w14:textId="77777777" w:rsidR="00404975" w:rsidRPr="00404975" w:rsidRDefault="00404975" w:rsidP="00404975">
      <w:r w:rsidRPr="00404975">
        <w:t>(b) Payment must be made in accordance with the terms specified prior to commencement of Services, unless otherwise agreed in writing.</w:t>
      </w:r>
    </w:p>
    <w:p w14:paraId="28B2996B" w14:textId="77777777" w:rsidR="00404975" w:rsidRPr="00404975" w:rsidRDefault="00404975" w:rsidP="00404975">
      <w:r w:rsidRPr="00404975">
        <w:t>(c) The Company reserves the right to suspend or withhold Services until payment is received.</w:t>
      </w:r>
    </w:p>
    <w:p w14:paraId="66B477DC" w14:textId="47A3C24C" w:rsidR="00404975" w:rsidRPr="00404975" w:rsidRDefault="00404975" w:rsidP="00404975"/>
    <w:p w14:paraId="34671288" w14:textId="77777777" w:rsidR="00404975" w:rsidRPr="00404975" w:rsidRDefault="00404975" w:rsidP="00404975">
      <w:pPr>
        <w:rPr>
          <w:b/>
          <w:bCs/>
        </w:rPr>
      </w:pPr>
      <w:r w:rsidRPr="00404975">
        <w:rPr>
          <w:b/>
          <w:bCs/>
        </w:rPr>
        <w:t>4. Client Responsibilities</w:t>
      </w:r>
    </w:p>
    <w:p w14:paraId="713EBC8D" w14:textId="77777777" w:rsidR="00404975" w:rsidRPr="00404975" w:rsidRDefault="00404975" w:rsidP="00404975">
      <w:r w:rsidRPr="00404975">
        <w:t>(a) The Client agrees to provide accurate, complete, and timely information required for the provision of Services.</w:t>
      </w:r>
    </w:p>
    <w:p w14:paraId="0ED46290" w14:textId="77777777" w:rsidR="00404975" w:rsidRPr="00404975" w:rsidRDefault="00404975" w:rsidP="00404975">
      <w:r w:rsidRPr="00404975">
        <w:t>(b) The Client is responsible for ensuring all application documents, references, and financial information are correct and submitted promptly.</w:t>
      </w:r>
    </w:p>
    <w:p w14:paraId="04D5F307" w14:textId="77777777" w:rsidR="00404975" w:rsidRPr="00404975" w:rsidRDefault="00404975" w:rsidP="00404975">
      <w:r w:rsidRPr="00404975">
        <w:lastRenderedPageBreak/>
        <w:t>(c) The Client acknowledges that delays in providing information may impact outcomes and timelines.</w:t>
      </w:r>
    </w:p>
    <w:p w14:paraId="1ED8F650" w14:textId="599BC364" w:rsidR="00404975" w:rsidRPr="00404975" w:rsidRDefault="00404975" w:rsidP="00404975"/>
    <w:p w14:paraId="046E1955" w14:textId="77777777" w:rsidR="00404975" w:rsidRPr="00404975" w:rsidRDefault="00404975" w:rsidP="00404975">
      <w:pPr>
        <w:rPr>
          <w:b/>
          <w:bCs/>
        </w:rPr>
      </w:pPr>
      <w:r w:rsidRPr="00404975">
        <w:rPr>
          <w:b/>
          <w:bCs/>
        </w:rPr>
        <w:t>5. Property Availability and No Guarantee</w:t>
      </w:r>
    </w:p>
    <w:p w14:paraId="0ECE832F" w14:textId="77777777" w:rsidR="00404975" w:rsidRPr="00404975" w:rsidRDefault="00404975" w:rsidP="00404975">
      <w:r w:rsidRPr="00404975">
        <w:t>(a) The Client acknowledges that the availability, suitability and securing of rental properties is subject to market conditions, third-party decisions (including landlords and agents), and factors outside the control of the Company.</w:t>
      </w:r>
    </w:p>
    <w:p w14:paraId="238B697C" w14:textId="77777777" w:rsidR="00404975" w:rsidRPr="00404975" w:rsidRDefault="00404975" w:rsidP="00404975">
      <w:r w:rsidRPr="00404975">
        <w:t>(b) The Company does not guarantee that a property will be secured within any specific timeframe, or at all, and will not be liable for any failure or delay in securing a property.</w:t>
      </w:r>
    </w:p>
    <w:p w14:paraId="365A717F" w14:textId="77777777" w:rsidR="00404975" w:rsidRPr="00404975" w:rsidRDefault="00404975" w:rsidP="00404975">
      <w:r w:rsidRPr="00404975">
        <w:t>(c) Factors including, but not limited to, high market demand, limited housing supply, application competition, inspection access, and landlord selection criteria may impact outcomes.</w:t>
      </w:r>
    </w:p>
    <w:p w14:paraId="46C0D87F" w14:textId="77777777" w:rsidR="00404975" w:rsidRPr="00404975" w:rsidRDefault="00404975" w:rsidP="00404975">
      <w:r w:rsidRPr="00404975">
        <w:t>(d) The Company will use reasonable endeavours to identify and present suitable property options and assist throughout the application process but is not responsible for decisions made by property owners, landlords, or managing agents.</w:t>
      </w:r>
    </w:p>
    <w:p w14:paraId="6F3E654A" w14:textId="77777777" w:rsidR="00404975" w:rsidRPr="00404975" w:rsidRDefault="00404975" w:rsidP="00404975">
      <w:r w:rsidRPr="00404975">
        <w:t>(e) To the fullest extent permitted by law, the Company will not be liable for any loss, cost or expense incurred by the Client arising from:</w:t>
      </w:r>
    </w:p>
    <w:p w14:paraId="47C0A9F7" w14:textId="694A26F7" w:rsidR="00404975" w:rsidRPr="00404975" w:rsidRDefault="00404975" w:rsidP="00404975">
      <w:pPr>
        <w:numPr>
          <w:ilvl w:val="0"/>
          <w:numId w:val="2"/>
        </w:numPr>
      </w:pPr>
      <w:r w:rsidRPr="00404975">
        <w:t xml:space="preserve">delays in securing </w:t>
      </w:r>
      <w:r w:rsidRPr="00404975">
        <w:t>accommodation.</w:t>
      </w:r>
    </w:p>
    <w:p w14:paraId="454539BA" w14:textId="27B281EF" w:rsidR="00404975" w:rsidRPr="00404975" w:rsidRDefault="00404975" w:rsidP="00404975">
      <w:pPr>
        <w:numPr>
          <w:ilvl w:val="0"/>
          <w:numId w:val="2"/>
        </w:numPr>
      </w:pPr>
      <w:r w:rsidRPr="00404975">
        <w:t xml:space="preserve">unsuccessful rental </w:t>
      </w:r>
      <w:r w:rsidRPr="00404975">
        <w:t>applications.</w:t>
      </w:r>
    </w:p>
    <w:p w14:paraId="0BC47BFA" w14:textId="77777777" w:rsidR="00404975" w:rsidRPr="00404975" w:rsidRDefault="00404975" w:rsidP="00404975">
      <w:pPr>
        <w:numPr>
          <w:ilvl w:val="0"/>
          <w:numId w:val="2"/>
        </w:numPr>
      </w:pPr>
      <w:r w:rsidRPr="00404975">
        <w:t>changes in market conditions; or</w:t>
      </w:r>
    </w:p>
    <w:p w14:paraId="0BD4CC69" w14:textId="77777777" w:rsidR="00404975" w:rsidRPr="00404975" w:rsidRDefault="00404975" w:rsidP="00404975">
      <w:pPr>
        <w:numPr>
          <w:ilvl w:val="0"/>
          <w:numId w:val="2"/>
        </w:numPr>
      </w:pPr>
      <w:r w:rsidRPr="00404975">
        <w:t>circumstances beyond the Company’s control, including those described in the Force Majeure clause.</w:t>
      </w:r>
    </w:p>
    <w:p w14:paraId="7DB2A086" w14:textId="77777777" w:rsidR="00404975" w:rsidRPr="00404975" w:rsidRDefault="00404975" w:rsidP="00404975">
      <w:r w:rsidRPr="00404975">
        <w:t>(f) Fees paid to the Company are for services rendered and time invested and are non-refundable, except as required under applicable Australian Consumer Law.</w:t>
      </w:r>
    </w:p>
    <w:p w14:paraId="48C5205A" w14:textId="6F6039F1" w:rsidR="00404975" w:rsidRPr="00404975" w:rsidRDefault="00404975" w:rsidP="00404975"/>
    <w:p w14:paraId="4D76F748" w14:textId="77777777" w:rsidR="00404975" w:rsidRPr="00404975" w:rsidRDefault="00404975" w:rsidP="00404975">
      <w:pPr>
        <w:rPr>
          <w:b/>
          <w:bCs/>
        </w:rPr>
      </w:pPr>
      <w:r w:rsidRPr="00404975">
        <w:rPr>
          <w:b/>
          <w:bCs/>
        </w:rPr>
        <w:t>6. Third Party Services</w:t>
      </w:r>
    </w:p>
    <w:p w14:paraId="67F97625" w14:textId="77777777" w:rsidR="00404975" w:rsidRPr="00404975" w:rsidRDefault="00404975" w:rsidP="00404975">
      <w:r w:rsidRPr="00404975">
        <w:t>(a) The Company may recommend or liaise with third parties, including real estate agents, landlords, removalists, and service providers.</w:t>
      </w:r>
    </w:p>
    <w:p w14:paraId="68366658" w14:textId="77777777" w:rsidR="00404975" w:rsidRPr="00404975" w:rsidRDefault="00404975" w:rsidP="00404975">
      <w:r w:rsidRPr="00404975">
        <w:t>(b) The Company is not responsible for the acts, omissions, or performance of any third party.</w:t>
      </w:r>
    </w:p>
    <w:p w14:paraId="0A01364F" w14:textId="67C7DE30" w:rsidR="00404975" w:rsidRPr="00404975" w:rsidRDefault="00404975" w:rsidP="00404975">
      <w:r w:rsidRPr="00404975">
        <w:t xml:space="preserve">(c) Any agreements </w:t>
      </w:r>
      <w:r w:rsidRPr="00404975">
        <w:t>entered</w:t>
      </w:r>
      <w:r w:rsidRPr="00404975">
        <w:t xml:space="preserve"> with third parties are solely between the Client and that third party.</w:t>
      </w:r>
    </w:p>
    <w:p w14:paraId="6B8D1D3C" w14:textId="36C2EF39" w:rsidR="00404975" w:rsidRPr="00404975" w:rsidRDefault="00404975" w:rsidP="00404975"/>
    <w:p w14:paraId="1FA76AE7" w14:textId="77777777" w:rsidR="00404975" w:rsidRPr="00404975" w:rsidRDefault="00404975" w:rsidP="00404975">
      <w:pPr>
        <w:rPr>
          <w:b/>
          <w:bCs/>
        </w:rPr>
      </w:pPr>
      <w:r w:rsidRPr="00404975">
        <w:rPr>
          <w:b/>
          <w:bCs/>
        </w:rPr>
        <w:t>7. Limitation of Liability</w:t>
      </w:r>
    </w:p>
    <w:p w14:paraId="74BCED2B" w14:textId="77777777" w:rsidR="00404975" w:rsidRPr="00404975" w:rsidRDefault="00404975" w:rsidP="00404975">
      <w:r w:rsidRPr="00404975">
        <w:t>(a) To the fullest extent permitted by law, the Company’s liability is limited to the value of the Services provided.</w:t>
      </w:r>
    </w:p>
    <w:p w14:paraId="0EE36EE1" w14:textId="77777777" w:rsidR="00404975" w:rsidRPr="00404975" w:rsidRDefault="00404975" w:rsidP="00404975">
      <w:r w:rsidRPr="00404975">
        <w:t>(b) The Company will not be liable for any indirect, incidental, or consequential loss, including loss of opportunity, accommodation, or financial loss.</w:t>
      </w:r>
    </w:p>
    <w:p w14:paraId="46216290" w14:textId="77777777" w:rsidR="00404975" w:rsidRPr="00404975" w:rsidRDefault="00404975" w:rsidP="00404975">
      <w:r w:rsidRPr="00404975">
        <w:t>(c) Nothing in this agreement excludes or limits rights under Australian Consumer Law.</w:t>
      </w:r>
    </w:p>
    <w:p w14:paraId="09CF0A54" w14:textId="24F3C46A" w:rsidR="00404975" w:rsidRPr="00404975" w:rsidRDefault="00404975" w:rsidP="00404975"/>
    <w:p w14:paraId="66CBEE16" w14:textId="77777777" w:rsidR="00404975" w:rsidRPr="00404975" w:rsidRDefault="00404975" w:rsidP="00404975">
      <w:pPr>
        <w:rPr>
          <w:b/>
          <w:bCs/>
        </w:rPr>
      </w:pPr>
      <w:r w:rsidRPr="00404975">
        <w:rPr>
          <w:b/>
          <w:bCs/>
        </w:rPr>
        <w:t>8. Force Majeure</w:t>
      </w:r>
    </w:p>
    <w:p w14:paraId="3879BD53" w14:textId="77777777" w:rsidR="00404975" w:rsidRPr="00404975" w:rsidRDefault="00404975" w:rsidP="00404975">
      <w:r w:rsidRPr="00404975">
        <w:t>(a) If a party (</w:t>
      </w:r>
      <w:r w:rsidRPr="00404975">
        <w:rPr>
          <w:b/>
          <w:bCs/>
        </w:rPr>
        <w:t>Affected Party</w:t>
      </w:r>
      <w:r w:rsidRPr="00404975">
        <w:t>) is unable, wholly or in part, to perform its obligations under this agreement (other than an obligation to pay money) due to a Force Majeure Event, the Affected Party must promptly notify the other party in writing, providing reasonable details and expected impact.</w:t>
      </w:r>
    </w:p>
    <w:p w14:paraId="3160F23E" w14:textId="77777777" w:rsidR="00404975" w:rsidRPr="00404975" w:rsidRDefault="00404975" w:rsidP="00404975">
      <w:r w:rsidRPr="00404975">
        <w:t>(b) The obligations of the Affected Party will be suspended to the extent affected for the duration of the Force Majeure Event.</w:t>
      </w:r>
    </w:p>
    <w:p w14:paraId="6F3A0D3C" w14:textId="77777777" w:rsidR="00404975" w:rsidRPr="00404975" w:rsidRDefault="00404975" w:rsidP="00404975">
      <w:r w:rsidRPr="00404975">
        <w:t>(c) The Affected Party must use reasonable endeavours to mitigate the effects and resume performance as soon as reasonably practicable.</w:t>
      </w:r>
    </w:p>
    <w:p w14:paraId="211AB966" w14:textId="77777777" w:rsidR="00404975" w:rsidRPr="00404975" w:rsidRDefault="00404975" w:rsidP="00404975">
      <w:r w:rsidRPr="00404975">
        <w:t>(d) A </w:t>
      </w:r>
      <w:r w:rsidRPr="00404975">
        <w:rPr>
          <w:i/>
          <w:iCs/>
        </w:rPr>
        <w:t>Force Majeure Event</w:t>
      </w:r>
      <w:r w:rsidRPr="00404975">
        <w:t> means any event beyond reasonable control, including but not limited to:</w:t>
      </w:r>
    </w:p>
    <w:p w14:paraId="1947489C" w14:textId="15522F4A" w:rsidR="00404975" w:rsidRPr="00404975" w:rsidRDefault="00404975" w:rsidP="00404975">
      <w:pPr>
        <w:numPr>
          <w:ilvl w:val="0"/>
          <w:numId w:val="3"/>
        </w:numPr>
      </w:pPr>
      <w:r w:rsidRPr="00404975">
        <w:t>natural disasters (fire, flood, storm, earthquake, etc.</w:t>
      </w:r>
      <w:r w:rsidRPr="00404975">
        <w:t>)</w:t>
      </w:r>
    </w:p>
    <w:p w14:paraId="5EB9583F" w14:textId="1A52E5C2" w:rsidR="00404975" w:rsidRPr="00404975" w:rsidRDefault="00404975" w:rsidP="00404975">
      <w:pPr>
        <w:numPr>
          <w:ilvl w:val="0"/>
          <w:numId w:val="3"/>
        </w:numPr>
      </w:pPr>
      <w:r w:rsidRPr="00404975">
        <w:t xml:space="preserve">war, terrorism, civil unrest or </w:t>
      </w:r>
      <w:r w:rsidRPr="00404975">
        <w:t>sabotage.</w:t>
      </w:r>
    </w:p>
    <w:p w14:paraId="077B3EFC" w14:textId="7E073CF6" w:rsidR="00404975" w:rsidRPr="00404975" w:rsidRDefault="00404975" w:rsidP="00404975">
      <w:pPr>
        <w:numPr>
          <w:ilvl w:val="0"/>
          <w:numId w:val="3"/>
        </w:numPr>
      </w:pPr>
      <w:r w:rsidRPr="00404975">
        <w:t xml:space="preserve">industrial disputes outside the Affected Party’s </w:t>
      </w:r>
      <w:r w:rsidRPr="00404975">
        <w:t>control.</w:t>
      </w:r>
    </w:p>
    <w:p w14:paraId="1E2BF1B6" w14:textId="75FAA3D5" w:rsidR="00404975" w:rsidRPr="00404975" w:rsidRDefault="00404975" w:rsidP="00404975">
      <w:pPr>
        <w:numPr>
          <w:ilvl w:val="0"/>
          <w:numId w:val="3"/>
        </w:numPr>
      </w:pPr>
      <w:r w:rsidRPr="00404975">
        <w:t xml:space="preserve">epidemics, pandemics (including COVID-19), or public health </w:t>
      </w:r>
      <w:r w:rsidRPr="00404975">
        <w:t>emergencies.</w:t>
      </w:r>
    </w:p>
    <w:p w14:paraId="16E49462" w14:textId="77777777" w:rsidR="00404975" w:rsidRPr="00404975" w:rsidRDefault="00404975" w:rsidP="00404975">
      <w:pPr>
        <w:numPr>
          <w:ilvl w:val="0"/>
          <w:numId w:val="3"/>
        </w:numPr>
      </w:pPr>
      <w:r w:rsidRPr="00404975">
        <w:t>any law, regulation, order, direction or restriction imposed by any government authority (including federal, state or local), including travel restrictions, lockdowns, quarantine requirements, or border closures.</w:t>
      </w:r>
    </w:p>
    <w:p w14:paraId="5A1D2F18" w14:textId="77777777" w:rsidR="00404975" w:rsidRPr="00404975" w:rsidRDefault="00404975" w:rsidP="00404975">
      <w:r w:rsidRPr="00404975">
        <w:t>(e) For the avoidance of doubt, this includes any delay or disruption caused directly or indirectly by COVID-19 (or variants) and any associated government response.</w:t>
      </w:r>
    </w:p>
    <w:p w14:paraId="2CA48E1A" w14:textId="77777777" w:rsidR="00404975" w:rsidRPr="00404975" w:rsidRDefault="00404975" w:rsidP="00404975">
      <w:r w:rsidRPr="00404975">
        <w:t>(f) If a Force Majeure Event continues for more than 30 days, either party may terminate this agreement by written notice.</w:t>
      </w:r>
    </w:p>
    <w:p w14:paraId="3FEC41E1" w14:textId="1018DD70" w:rsidR="00404975" w:rsidRPr="00404975" w:rsidRDefault="00404975" w:rsidP="00404975"/>
    <w:p w14:paraId="65A824AF" w14:textId="77777777" w:rsidR="00404975" w:rsidRPr="00404975" w:rsidRDefault="00404975" w:rsidP="00404975">
      <w:pPr>
        <w:rPr>
          <w:b/>
          <w:bCs/>
        </w:rPr>
      </w:pPr>
      <w:r w:rsidRPr="00404975">
        <w:rPr>
          <w:b/>
          <w:bCs/>
        </w:rPr>
        <w:t>9. Termination</w:t>
      </w:r>
    </w:p>
    <w:p w14:paraId="7E944681" w14:textId="77777777" w:rsidR="00404975" w:rsidRPr="00404975" w:rsidRDefault="00404975" w:rsidP="00404975">
      <w:r w:rsidRPr="00404975">
        <w:lastRenderedPageBreak/>
        <w:t>(a) Either party may terminate this agreement with written notice where there is a material breach that is not remedied within a reasonable timeframe.</w:t>
      </w:r>
    </w:p>
    <w:p w14:paraId="1961C983" w14:textId="77777777" w:rsidR="00404975" w:rsidRPr="00404975" w:rsidRDefault="00404975" w:rsidP="00404975">
      <w:r w:rsidRPr="00404975">
        <w:t>(b) The Company may terminate Services immediately if payment obligations are not met.</w:t>
      </w:r>
    </w:p>
    <w:p w14:paraId="577C69CD" w14:textId="77777777" w:rsidR="00404975" w:rsidRPr="00404975" w:rsidRDefault="00404975" w:rsidP="00404975">
      <w:r w:rsidRPr="00404975">
        <w:t>(c) Upon termination, any outstanding fees for Services performed remain payable.</w:t>
      </w:r>
    </w:p>
    <w:p w14:paraId="5AF3B4B0" w14:textId="6D69D4E2" w:rsidR="00404975" w:rsidRPr="00404975" w:rsidRDefault="00404975" w:rsidP="00404975"/>
    <w:p w14:paraId="5267AE43" w14:textId="77777777" w:rsidR="00404975" w:rsidRPr="00404975" w:rsidRDefault="00404975" w:rsidP="00404975">
      <w:pPr>
        <w:rPr>
          <w:b/>
          <w:bCs/>
        </w:rPr>
      </w:pPr>
      <w:r w:rsidRPr="00404975">
        <w:rPr>
          <w:b/>
          <w:bCs/>
        </w:rPr>
        <w:t>10. Confidentiality</w:t>
      </w:r>
    </w:p>
    <w:p w14:paraId="6E951083" w14:textId="6D2A0EE0" w:rsidR="00404975" w:rsidRPr="00404975" w:rsidRDefault="00404975" w:rsidP="00404975">
      <w:r w:rsidRPr="00404975">
        <w:t xml:space="preserve">(a) Both parties agree to keep confidential any personal or sensitive information shared </w:t>
      </w:r>
      <w:r w:rsidRPr="00404975">
        <w:t>during</w:t>
      </w:r>
      <w:r w:rsidRPr="00404975">
        <w:t xml:space="preserve"> the engagement.</w:t>
      </w:r>
    </w:p>
    <w:p w14:paraId="67A75910" w14:textId="77777777" w:rsidR="00404975" w:rsidRPr="00404975" w:rsidRDefault="00404975" w:rsidP="00404975">
      <w:r w:rsidRPr="00404975">
        <w:t>(b) Information will only be shared with third parties where necessary to deliver the Services.</w:t>
      </w:r>
    </w:p>
    <w:p w14:paraId="0E032437" w14:textId="77777777" w:rsidR="00404975" w:rsidRPr="00404975" w:rsidRDefault="00404975" w:rsidP="00404975">
      <w:pPr>
        <w:rPr>
          <w:b/>
          <w:bCs/>
        </w:rPr>
      </w:pPr>
      <w:r w:rsidRPr="00404975">
        <w:rPr>
          <w:b/>
          <w:bCs/>
        </w:rPr>
        <w:t>11. Governing Law</w:t>
      </w:r>
    </w:p>
    <w:p w14:paraId="3DA792DD" w14:textId="2C77078F" w:rsidR="00404975" w:rsidRPr="00404975" w:rsidRDefault="00404975" w:rsidP="00404975">
      <w:r w:rsidRPr="00404975">
        <w:t>This agreement is governed by the laws of Western Australia, and the parties submit to the jurisdiction of its courts.</w:t>
      </w:r>
    </w:p>
    <w:p w14:paraId="60B9FA2E" w14:textId="77777777" w:rsidR="00404975" w:rsidRPr="00404975" w:rsidRDefault="00404975" w:rsidP="00404975">
      <w:pPr>
        <w:rPr>
          <w:b/>
          <w:bCs/>
        </w:rPr>
      </w:pPr>
      <w:r w:rsidRPr="00404975">
        <w:rPr>
          <w:b/>
          <w:bCs/>
        </w:rPr>
        <w:t>12. Acceptance</w:t>
      </w:r>
    </w:p>
    <w:p w14:paraId="59BFA501" w14:textId="77777777" w:rsidR="00404975" w:rsidRPr="00404975" w:rsidRDefault="00404975" w:rsidP="00404975">
      <w:r w:rsidRPr="00404975">
        <w:t>By engaging the Company’s Services, the Client acknowledges and agrees to these Terms and Conditions.</w:t>
      </w:r>
    </w:p>
    <w:p w14:paraId="2CE0263F" w14:textId="77777777" w:rsidR="00404975" w:rsidRDefault="00404975"/>
    <w:sectPr w:rsidR="004049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E51292"/>
    <w:multiLevelType w:val="multilevel"/>
    <w:tmpl w:val="54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D96C89"/>
    <w:multiLevelType w:val="multilevel"/>
    <w:tmpl w:val="14B00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3E6B4D"/>
    <w:multiLevelType w:val="multilevel"/>
    <w:tmpl w:val="8B3CE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724F4A"/>
    <w:multiLevelType w:val="multilevel"/>
    <w:tmpl w:val="049C1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6247A3"/>
    <w:multiLevelType w:val="multilevel"/>
    <w:tmpl w:val="D9A2D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6400622">
    <w:abstractNumId w:val="4"/>
  </w:num>
  <w:num w:numId="2" w16cid:durableId="885095185">
    <w:abstractNumId w:val="3"/>
  </w:num>
  <w:num w:numId="3" w16cid:durableId="1690595119">
    <w:abstractNumId w:val="0"/>
  </w:num>
  <w:num w:numId="4" w16cid:durableId="1210845576">
    <w:abstractNumId w:val="1"/>
  </w:num>
  <w:num w:numId="5" w16cid:durableId="20436755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975"/>
    <w:rsid w:val="001B64AF"/>
    <w:rsid w:val="004049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C4448"/>
  <w15:chartTrackingRefBased/>
  <w15:docId w15:val="{6F8D57FD-9A7C-4E4C-B851-4806E60FC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49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49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49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49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49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49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49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49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49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9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49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49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49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49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49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49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49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4975"/>
    <w:rPr>
      <w:rFonts w:eastAsiaTheme="majorEastAsia" w:cstheme="majorBidi"/>
      <w:color w:val="272727" w:themeColor="text1" w:themeTint="D8"/>
    </w:rPr>
  </w:style>
  <w:style w:type="paragraph" w:styleId="Title">
    <w:name w:val="Title"/>
    <w:basedOn w:val="Normal"/>
    <w:next w:val="Normal"/>
    <w:link w:val="TitleChar"/>
    <w:uiPriority w:val="10"/>
    <w:qFormat/>
    <w:rsid w:val="004049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49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49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49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4975"/>
    <w:pPr>
      <w:spacing w:before="160"/>
      <w:jc w:val="center"/>
    </w:pPr>
    <w:rPr>
      <w:i/>
      <w:iCs/>
      <w:color w:val="404040" w:themeColor="text1" w:themeTint="BF"/>
    </w:rPr>
  </w:style>
  <w:style w:type="character" w:customStyle="1" w:styleId="QuoteChar">
    <w:name w:val="Quote Char"/>
    <w:basedOn w:val="DefaultParagraphFont"/>
    <w:link w:val="Quote"/>
    <w:uiPriority w:val="29"/>
    <w:rsid w:val="00404975"/>
    <w:rPr>
      <w:i/>
      <w:iCs/>
      <w:color w:val="404040" w:themeColor="text1" w:themeTint="BF"/>
    </w:rPr>
  </w:style>
  <w:style w:type="paragraph" w:styleId="ListParagraph">
    <w:name w:val="List Paragraph"/>
    <w:basedOn w:val="Normal"/>
    <w:uiPriority w:val="34"/>
    <w:qFormat/>
    <w:rsid w:val="00404975"/>
    <w:pPr>
      <w:ind w:left="720"/>
      <w:contextualSpacing/>
    </w:pPr>
  </w:style>
  <w:style w:type="character" w:styleId="IntenseEmphasis">
    <w:name w:val="Intense Emphasis"/>
    <w:basedOn w:val="DefaultParagraphFont"/>
    <w:uiPriority w:val="21"/>
    <w:qFormat/>
    <w:rsid w:val="00404975"/>
    <w:rPr>
      <w:i/>
      <w:iCs/>
      <w:color w:val="0F4761" w:themeColor="accent1" w:themeShade="BF"/>
    </w:rPr>
  </w:style>
  <w:style w:type="paragraph" w:styleId="IntenseQuote">
    <w:name w:val="Intense Quote"/>
    <w:basedOn w:val="Normal"/>
    <w:next w:val="Normal"/>
    <w:link w:val="IntenseQuoteChar"/>
    <w:uiPriority w:val="30"/>
    <w:qFormat/>
    <w:rsid w:val="004049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4975"/>
    <w:rPr>
      <w:i/>
      <w:iCs/>
      <w:color w:val="0F4761" w:themeColor="accent1" w:themeShade="BF"/>
    </w:rPr>
  </w:style>
  <w:style w:type="character" w:styleId="IntenseReference">
    <w:name w:val="Intense Reference"/>
    <w:basedOn w:val="DefaultParagraphFont"/>
    <w:uiPriority w:val="32"/>
    <w:qFormat/>
    <w:rsid w:val="004049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29301">
      <w:bodyDiv w:val="1"/>
      <w:marLeft w:val="0"/>
      <w:marRight w:val="0"/>
      <w:marTop w:val="0"/>
      <w:marBottom w:val="0"/>
      <w:divBdr>
        <w:top w:val="none" w:sz="0" w:space="0" w:color="auto"/>
        <w:left w:val="none" w:sz="0" w:space="0" w:color="auto"/>
        <w:bottom w:val="none" w:sz="0" w:space="0" w:color="auto"/>
        <w:right w:val="none" w:sz="0" w:space="0" w:color="auto"/>
      </w:divBdr>
    </w:div>
    <w:div w:id="123165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860</Words>
  <Characters>4908</Characters>
  <Application>Microsoft Office Word</Application>
  <DocSecurity>0</DocSecurity>
  <Lines>40</Lines>
  <Paragraphs>11</Paragraphs>
  <ScaleCrop>false</ScaleCrop>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esterling-cooper</dc:creator>
  <cp:keywords/>
  <dc:description/>
  <cp:lastModifiedBy>charles esterling-cooper</cp:lastModifiedBy>
  <cp:revision>1</cp:revision>
  <cp:lastPrinted>2026-04-02T03:56:00Z</cp:lastPrinted>
  <dcterms:created xsi:type="dcterms:W3CDTF">2026-04-02T03:52:00Z</dcterms:created>
  <dcterms:modified xsi:type="dcterms:W3CDTF">2026-04-02T03:57:00Z</dcterms:modified>
</cp:coreProperties>
</file>